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between w:space="0" w:sz="0" w:val="nil"/>
        </w:pBdr>
        <w:ind w:hanging="2"/>
        <w:jc w:val="center"/>
        <w:rPr>
          <w:color w:val="000000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IIS "CURIE-SRAFFA”  MILANO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between w:space="0" w:sz="0" w:val="nil"/>
        </w:pBdr>
        <w:spacing w:after="240" w:lineRule="auto"/>
        <w:ind w:hanging="2"/>
        <w:jc w:val="center"/>
        <w:rPr>
          <w:rFonts w:ascii="Calibri" w:cs="Calibri" w:eastAsia="Calibri" w:hAnsi="Calibri"/>
          <w:color w:val="4a86e8"/>
          <w:sz w:val="22"/>
          <w:szCs w:val="22"/>
        </w:rPr>
      </w:pPr>
      <w:bookmarkStart w:colFirst="0" w:colLast="0" w:name="_heading=h.gjdgxs" w:id="1"/>
      <w:bookmarkEnd w:id="1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TAVOLA DI PROGRAMMAZIONE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COMUNE ANNUALE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Anno scolastico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4a86e8"/>
          <w:sz w:val="22"/>
          <w:szCs w:val="22"/>
          <w:rtl w:val="0"/>
        </w:rPr>
        <w:t xml:space="preserve">2025 2026</w:t>
      </w:r>
      <w:r w:rsidDel="00000000" w:rsidR="00000000" w:rsidRPr="00000000">
        <w:rPr>
          <w:rtl w:val="0"/>
        </w:rPr>
      </w:r>
    </w:p>
    <w:tbl>
      <w:tblPr>
        <w:tblStyle w:val="Table1"/>
        <w:tblW w:w="10890.0" w:type="dxa"/>
        <w:jc w:val="left"/>
        <w:tblInd w:w="-38.0" w:type="dxa"/>
        <w:tblLayout w:type="fixed"/>
        <w:tblLook w:val="0000"/>
      </w:tblPr>
      <w:tblGrid>
        <w:gridCol w:w="2962"/>
        <w:gridCol w:w="7928"/>
        <w:tblGridChange w:id="0">
          <w:tblGrid>
            <w:gridCol w:w="2962"/>
            <w:gridCol w:w="792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Classe: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V Indirizzo BIOTECNOLOGIE SANITARIE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Materia: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Chimica Organica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righ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Testo utilizzato: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H. Hart, Hadad, Craine, D. Hart– Chimica Organica- Dal carbonio alle Biomolecole</w:t>
              <w:br w:type="textWrapping"/>
              <w:t xml:space="preserve">Boschi Rizzoni- Biochimicamente- Zanichelli</w:t>
            </w:r>
          </w:p>
        </w:tc>
      </w:tr>
    </w:tbl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Gli obiettivi minimi sono indicati con sottolineatura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Verdana" w:cs="Verdana" w:eastAsia="Verdana" w:hAnsi="Verdana"/>
          <w:color w:val="000000"/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                                </w:t>
      </w: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Ind w:w="-20.0" w:type="dxa"/>
        <w:tblLayout w:type="fixed"/>
        <w:tblLook w:val="0000"/>
      </w:tblPr>
      <w:tblGrid>
        <w:gridCol w:w="1149"/>
        <w:gridCol w:w="6209"/>
        <w:gridCol w:w="5698"/>
        <w:gridCol w:w="1389"/>
        <w:tblGridChange w:id="0">
          <w:tblGrid>
            <w:gridCol w:w="1149"/>
            <w:gridCol w:w="6209"/>
            <w:gridCol w:w="5698"/>
            <w:gridCol w:w="138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Unità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didattica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Obiettivi disciplinari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Contenuti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Tempi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(entro…)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Comprendere l’importanza della biochimica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Cos’è la Biochimica e di cosa si occupa: biochimica strutturale (biomolecole) e metabolismo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Inizi settembre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shd w:fill="ffff99" w:val="clear"/>
                <w:rtl w:val="0"/>
              </w:rPr>
              <w:t xml:space="preserve">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highlight w:val="white"/>
                <w:rtl w:val="0"/>
              </w:rPr>
              <w:t xml:space="preserve">STEREOCHIMICA (ripasso)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Comprendere il concetto di stereoisomeria e conoscere  la loro classificazione.</w:t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Saper riconoscere un centro stereogeno e quando una molecola è chirale</w:t>
              <w:br w:type="textWrapping"/>
              <w:t xml:space="preserve">Saper riconoscere quando due composti sono tra loro  enantiomeri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u w:val="single"/>
                <w:rtl w:val="0"/>
              </w:rPr>
              <w:t xml:space="preserve">diastereoisomeri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e cos’è un composto meso.</w:t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Comprendere la differenza tra conformazione e configurazione.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Conoscere in cosa consiste l’attività ottica di un composto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e come si misura</w:t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Saper riconoscere quando due composti sono tra loro  enantiomeri o diastereomeri e saperne descrivere le proprietà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Classificazione degli stereoisomeri: </w:t>
              <w:br w:type="textWrapping"/>
              <w:t xml:space="preserve">stereoisomeri conformazionali e configurazionali.</w:t>
              <w:br w:type="textWrapping"/>
              <w:t xml:space="preserve">Centro stereogeno. Chiralità ed enantiomeri.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La configurazione di un centro stereogeno:  convenzione R-S.  Rappresentazione a cunei.</w:t>
              <w:br w:type="textWrapping"/>
              <w:t xml:space="preserve">La luce polarizzata e l’attività ottica dei composti chirali. Miscela racemica</w:t>
              <w:br w:type="textWrapping"/>
              <w:t xml:space="preserve">Enantiomeri e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diastereoisomeri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, con uno o più centri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stereogenici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br w:type="textWrapping"/>
              <w:t xml:space="preserve">La proiezione di Fischer</w:t>
              <w:br w:type="textWrapping"/>
              <w:t xml:space="preserve">Le proprietà degli enantiomeri e dei diastereomeri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Composto meso. 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Metà  ottobre</w:t>
            </w:r>
          </w:p>
        </w:tc>
      </w:tr>
    </w:tbl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4445.0" w:type="dxa"/>
        <w:jc w:val="left"/>
        <w:tblInd w:w="-20.0" w:type="dxa"/>
        <w:tblLayout w:type="fixed"/>
        <w:tblLook w:val="0000"/>
      </w:tblPr>
      <w:tblGrid>
        <w:gridCol w:w="1149"/>
        <w:gridCol w:w="6209"/>
        <w:gridCol w:w="5982"/>
        <w:gridCol w:w="1105"/>
        <w:tblGridChange w:id="0">
          <w:tblGrid>
            <w:gridCol w:w="1149"/>
            <w:gridCol w:w="6209"/>
            <w:gridCol w:w="5982"/>
            <w:gridCol w:w="11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Unità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didattica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Obiettivi disciplinari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Contenuti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Tempi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(entro…)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highlight w:val="whit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highlight w:val="white"/>
                <w:rtl w:val="0"/>
              </w:rPr>
              <w:t xml:space="preserve">CARBOIDRATI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Saper descrivere le caratteristiche strutturali dei Carboidrati,  la loro classificazione e funzione biologica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Conoscere le principali reazioni che coinvolgono queste molecole.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Saper correlare la struttura delle macromolecole con le loro proprietà/funzione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Classificazione generale: monosaccaridi (aldosi e chetosi, serie D e L), disaccaridi e polisaccaridi. </w:t>
              <w:br w:type="textWrapping"/>
              <w:t xml:space="preserve">Monosaccaridi: Struttura chimica generale (gruppi funzionali). </w:t>
              <w:br w:type="textWrapping"/>
              <w:t xml:space="preserve">Proiezione di Fischer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Strutture emiacetaliche cicliche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e rappresentazione di Haworth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Anomeri alfa e beta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Mutarotazione. 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Struttura del glucosio (lineare e ciclica).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Riduzione ad alditolo. Ossidazione ad acido aldarico (saggi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di Tollens, Fehling e Benedict) e ad acido aldonico (con acido nitrico).</w:t>
              <w:br w:type="textWrapping"/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Disaccaridi: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legame glicosidico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; lattosio; saccarosio e lo “zucchero invertito”.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Polisaccaridi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amido, glicogeno e cellulosa (struttura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e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funzione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). 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Intolleranza al lattosio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Metà novembre</w:t>
            </w:r>
          </w:p>
        </w:tc>
      </w:tr>
    </w:tbl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4"/>
        <w:tblW w:w="14445.0" w:type="dxa"/>
        <w:jc w:val="left"/>
        <w:tblInd w:w="-20.0" w:type="dxa"/>
        <w:tblLayout w:type="fixed"/>
        <w:tblLook w:val="0000"/>
      </w:tblPr>
      <w:tblGrid>
        <w:gridCol w:w="1149"/>
        <w:gridCol w:w="6209"/>
        <w:gridCol w:w="5982"/>
        <w:gridCol w:w="1105"/>
        <w:tblGridChange w:id="0">
          <w:tblGrid>
            <w:gridCol w:w="1149"/>
            <w:gridCol w:w="6209"/>
            <w:gridCol w:w="5982"/>
            <w:gridCol w:w="11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Unità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didattica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Obiettivi disciplinari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Contenuti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Tempi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(entro…)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highlight w:val="white"/>
                <w:rtl w:val="0"/>
              </w:rPr>
              <w:t xml:space="preserve">LIPIDI e MEMBRANA CELLULARE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Saper descrivere le caratteristiche strutturali dei Lipidi,  la loro classificazione e funzione negli organismi viventi.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Saper correlare la struttura delle molecole con le loro proprietà/funzione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Saper descrivere la composizione, struttura e funzione della membrana cellulare ed i principali meccanismi di trasporto trans-membrana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Classificazione dei Lipidi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in saponificabili e non.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Trigliceridi e fosfolipidi: struttura e funzione.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Acidi grassi: struttura, proprietà, classificazione in saturi ed insaturi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I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grassi e gli olii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: l’idrogenazione degli oli vegetali. L’irrancidimento (ossidazione) degli olii. La reazione di saponificazione.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Cere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Terpeni: l’unità isoprenica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I carotenoidi: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cenni al beta-carotene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Steroidi: struttura generale, funzione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Il colesterolo ed il suo ruolo nella membrana cellulare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 (e nelle patologie cardiovascolari)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Cenni agli acidi biliari e agli ormoni sessuali steroidei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Vitamine liposolubili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(A,D,E,K): funzione.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La membrana cellulare: composizione,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struttura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(modello a mosaico fluido e lipid rafts),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caratteristiche generali 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 funzione. 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br w:type="textWrapping"/>
              <w:t xml:space="preserve">Il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trasporto di membrana: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passivo (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diffusione semplice e facilitata),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attivo (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primario e secondario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), vescicolare (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endocitosi, esocitosi, recettore-specifico).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Carrier e canali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Dicembre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highlight w:val="whit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highlight w:val="white"/>
                <w:rtl w:val="0"/>
              </w:rPr>
              <w:t xml:space="preserve">ACIDI NUCLEICI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highlight w:val="white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Saper descrivere le  caratteristiche strutturali degli acidi nucleici e la loro funzione biologica.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highlight w:val="white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Saper descrivere il process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u w:val="single"/>
                <w:rtl w:val="0"/>
              </w:rPr>
              <w:t xml:space="preserve">o  di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highlight w:val="white"/>
                <w:u w:val="single"/>
                <w:rtl w:val="0"/>
              </w:rPr>
              <w:t xml:space="preserve">sintesi proteica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Struttura dei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nucleotidi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Basi azotate (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purine e pirimidine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DNA: struttura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4"/>
                <w:szCs w:val="24"/>
                <w:rtl w:val="0"/>
              </w:rPr>
              <w:t xml:space="preserve">e processo di replicazione (cenno)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Storia del DNA (cenni): da Chargaff a Watson e Crick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RNA: struttura. mRNA e tRNA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: struttura e funzione. 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Sintesi </w:t>
            </w:r>
            <w:r w:rsidDel="00000000" w:rsidR="00000000" w:rsidRPr="00000000">
              <w:rPr>
                <w:rFonts w:ascii="Calibri" w:cs="Calibri" w:eastAsia="Calibri" w:hAnsi="Calibri"/>
                <w:color w:val="1f497d"/>
                <w:sz w:val="24"/>
                <w:szCs w:val="24"/>
                <w:u w:val="single"/>
                <w:rtl w:val="0"/>
              </w:rPr>
              <w:t xml:space="preserve">cellulare delle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Proteine: trascrizione  e traduzione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Inizi  febbraio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Unità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didattica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Obiettivi disciplinari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Contenuti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Tempi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(entro…)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highlight w:val="white"/>
                <w:rtl w:val="0"/>
              </w:rPr>
              <w:t xml:space="preserve">AMMINOACIDI e PROTEINE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Saper descrivere le caratteristiche strutturali di amminoacidi e proteine e la loro funzione biologica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Saper correlare la struttura delle molecole con le loro proprietà/funzione</w:t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Struttura generale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e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classificazione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degli amminoacidi. </w:t>
              <w:br w:type="textWrapping"/>
              <w:t xml:space="preserve">Forma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zwitterionica,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punto isoelettrico.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Legame peptidico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Ponte disolfuro.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Proteine: struttura primaria, secondaria, terziaria e quaternaria. Proteine globulari e fibrose. Funzione delle proteine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ed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esempi (emoglobina: struttura e funzione. Curva di saturazione, confronto con mioglobina).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Metà marzo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highlight w:val="white"/>
                <w:rtl w:val="0"/>
              </w:rPr>
              <w:t xml:space="preserve">ENZIMI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Conoscere le caratteristiche strutturali degli enzimi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e i criteri usati per la loro classificazione.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Conoscere i principi su cui si basa l’attività enzimatica ed il meccanismo d’azione degli enzimi.</w:t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Saper spiegare quali fattori chimico-fisici possono  influenzare l’attività enzimatica.</w:t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Saper descrivere la cinetica enzimatica (Michaelis Menten)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Quali sono i principali meccanismi di regolazione biologica dell’attività enzimatica </w:t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Struttura e criteri di classificazione degli enzimi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Attività enzimatica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C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ofattori e coenzimi. Numero EC della classe</w:t>
              <w:br w:type="textWrapping"/>
              <w:t xml:space="preserve">Fattori che influenzano l’attività enzimatica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(pH, temperatura e concentrazione del substrato),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affinità per il substrato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(costante di Michaelis-Menten)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Cinetica enzimatica: equazione  e grafico di Michaelis Menten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Sistemi di regolazione dell’attività enzimatica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(attivazione/inibizione, competitiva/non competitiva, reversibile/ irreversibile). </w:t>
              <w:br w:type="textWrapping"/>
              <w:t xml:space="preserve">Enzimi allosterici.</w:t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Feedback regulation.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Regolazione allosterica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5"/>
        <w:tblW w:w="14445.0" w:type="dxa"/>
        <w:jc w:val="left"/>
        <w:tblInd w:w="-20.0" w:type="dxa"/>
        <w:tblLayout w:type="fixed"/>
        <w:tblLook w:val="0000"/>
      </w:tblPr>
      <w:tblGrid>
        <w:gridCol w:w="1149"/>
        <w:gridCol w:w="6209"/>
        <w:gridCol w:w="5811"/>
        <w:gridCol w:w="1276"/>
        <w:tblGridChange w:id="0">
          <w:tblGrid>
            <w:gridCol w:w="1149"/>
            <w:gridCol w:w="6209"/>
            <w:gridCol w:w="5811"/>
            <w:gridCol w:w="12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Unità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didattica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Obiettivi disciplinari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Contenuti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Tempi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(entro…)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highlight w:val="white"/>
                <w:rtl w:val="0"/>
              </w:rPr>
              <w:t xml:space="preserve">METABOLISMO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Comprendere i principali processi metabolici cellulari.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Saper esporre i principali cicli metabolici e la loro rilevanza ai fini energetici </w:t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Aspetti generali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anabolismo, catabolismo, aspetti energetici</w:t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ATP: struttura e funzione. Sintesi dell’ATP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Coenzimi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ossido riduttivi (struttura del NADH), funzione</w:t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Metabolismo degli zuccheri: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Glicolisi (fase preparatoria, fase di recupero; tappe principali), bilancio energetico,  regolazione</w:t>
              <w:br w:type="textWrapping"/>
              <w:t xml:space="preserve">Il destino del piruvato in ambiente anaerobico: fermentazione lattica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. Ciclo di Cori (cenni).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Metabolismo terminale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Decarbossilazione ossidativa dell’acido piruvico e produzione di acetil-coA.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Il ciclo di Krebs: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(tappe principali, i prodotti finali, il bilancio energetico).</w:t>
              <w:br w:type="textWrapping"/>
              <w:t xml:space="preserve">La fosforilazione ossidativa (catena di trasporto elettronico e chemiosmosi)</w:t>
              <w:br w:type="textWrapping"/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Metabolismo dei lipidi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: Lipolisi.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u w:val="single"/>
                <w:rtl w:val="0"/>
              </w:rPr>
              <w:t xml:space="preserve">Beta ossidazione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 (degradazione degli acidi grassi). 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  <w:tab w:val="left" w:leader="none" w:pos="10080"/>
              </w:tabs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  <w:shd w:fill="ffff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Metabolismo delle proteine (cenni):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4"/>
                <w:szCs w:val="24"/>
                <w:rtl w:val="0"/>
              </w:rPr>
              <w:t xml:space="preserve">degradazione degli amminoacidi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rtl w:val="0"/>
              </w:rPr>
              <w:t xml:space="preserve">transdeamminazione). Transaminazione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Maggio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right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hanging="2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VALUTAZIONE: </w:t>
        <w:tab/>
      </w:r>
    </w:p>
    <w:p w:rsidR="00000000" w:rsidDel="00000000" w:rsidP="00000000" w:rsidRDefault="00000000" w:rsidRPr="00000000" w14:paraId="00000085">
      <w:pPr>
        <w:ind w:hanging="2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Trimestre: almeno </w:t>
      </w:r>
      <w:r w:rsidDel="00000000" w:rsidR="00000000" w:rsidRPr="00000000">
        <w:rPr>
          <w:rFonts w:ascii="Cambria" w:cs="Cambria" w:eastAsia="Cambria" w:hAnsi="Cambria"/>
          <w:color w:val="1f497d"/>
          <w:sz w:val="24"/>
          <w:szCs w:val="24"/>
          <w:rtl w:val="0"/>
        </w:rPr>
        <w:t xml:space="preserve">due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voti di teoria e uno di pratica (laboratorio)</w:t>
      </w:r>
    </w:p>
    <w:p w:rsidR="00000000" w:rsidDel="00000000" w:rsidP="00000000" w:rsidRDefault="00000000" w:rsidRPr="00000000" w14:paraId="00000086">
      <w:pPr>
        <w:ind w:hanging="2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Pentamestre: almeno tre voti di teoria e due di pratica (laboratorio). </w:t>
      </w:r>
    </w:p>
    <w:p w:rsidR="00000000" w:rsidDel="00000000" w:rsidP="00000000" w:rsidRDefault="00000000" w:rsidRPr="00000000" w14:paraId="00000087">
      <w:pPr>
        <w:ind w:hanging="2"/>
        <w:rPr>
          <w:rFonts w:ascii="Cambria" w:cs="Cambria" w:eastAsia="Cambria" w:hAnsi="Cambria"/>
          <w:i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Per entrambi i periodi: eventuale valutazione del lavoro svolto a casa</w:t>
        <w:br w:type="textWrapping"/>
      </w:r>
      <w:r w:rsidDel="00000000" w:rsidR="00000000" w:rsidRPr="00000000">
        <w:rPr>
          <w:rFonts w:ascii="Cambria" w:cs="Cambria" w:eastAsia="Cambria" w:hAnsi="Cambria"/>
          <w:i w:val="1"/>
          <w:sz w:val="24"/>
          <w:szCs w:val="24"/>
          <w:rtl w:val="0"/>
        </w:rPr>
        <w:t xml:space="preserve">A ciascuna prova di valutazione, in base alla tipologia e complessità,  potrebbe essere attribuito dal docente un peso % diverso dal 100% (ai fini della media), esplicitandolo nel registro in fase di registrazione del voto.</w:t>
        <w:br w:type="textWrapping"/>
        <w:t xml:space="preserve">Il voto di teoria prevede prove intercambiabili tra scritto e orale, in base al programma</w:t>
      </w:r>
    </w:p>
    <w:p w:rsidR="00000000" w:rsidDel="00000000" w:rsidP="00000000" w:rsidRDefault="00000000" w:rsidRPr="00000000" w14:paraId="00000088">
      <w:pPr>
        <w:ind w:hanging="2"/>
        <w:rPr>
          <w:rFonts w:ascii="Cambria" w:cs="Cambria" w:eastAsia="Cambria" w:hAnsi="Cambria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LABORATORIO 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Programma di massima,  possibili esperienze di laboratorio, a scelta tra:</w:t>
      </w:r>
      <w:r w:rsidDel="00000000" w:rsidR="00000000" w:rsidRPr="00000000">
        <w:rPr>
          <w:rFonts w:ascii="Calibri" w:cs="Calibri" w:eastAsia="Calibri" w:hAnsi="Calibri"/>
          <w:b w:val="1"/>
          <w:color w:val="0000ff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t xml:space="preserve">CARBOIDRATI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rtl w:val="0"/>
        </w:rPr>
        <w:t xml:space="preserve">polarimetria, potere rotatorio degli zuccheri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rtl w:val="0"/>
        </w:rPr>
        <w:t xml:space="preserve">saggi di riconoscimento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carboidrati: Molish, 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rtl w:val="0"/>
        </w:rPr>
        <w:t xml:space="preserve">Fehling,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rtl w:val="0"/>
        </w:rPr>
        <w:t xml:space="preserve">Tollens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Seliwanoff, 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rtl w:val="0"/>
        </w:rPr>
        <w:t xml:space="preserve">Lugol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LIPIDI</w:t>
        <w:br w:type="textWrapping"/>
        <w:t xml:space="preserve">saggi qualitativi sulle proprietà degli acidi grassi</w:t>
      </w:r>
    </w:p>
    <w:p w:rsidR="00000000" w:rsidDel="00000000" w:rsidP="00000000" w:rsidRDefault="00000000" w:rsidRPr="00000000" w14:paraId="0000008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saggi di riconoscimento su olii e grassi in campioni alimentari</w:t>
      </w:r>
    </w:p>
    <w:p w:rsidR="00000000" w:rsidDel="00000000" w:rsidP="00000000" w:rsidRDefault="00000000" w:rsidRPr="00000000" w14:paraId="0000008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rtl w:val="0"/>
        </w:rPr>
        <w:t xml:space="preserve">processo di saponificazione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numero di saponificazione, calcolo quantità agente saponificante</w:t>
      </w:r>
    </w:p>
    <w:p w:rsidR="00000000" w:rsidDel="00000000" w:rsidP="00000000" w:rsidRDefault="00000000" w:rsidRPr="00000000" w14:paraId="0000008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(reazione di saponificazione a freddo)</w:t>
      </w:r>
    </w:p>
    <w:p w:rsidR="00000000" w:rsidDel="00000000" w:rsidP="00000000" w:rsidRDefault="00000000" w:rsidRPr="00000000" w14:paraId="0000008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t xml:space="preserve">AMMINOACIDI E PROTEINE</w:t>
        <w:br w:type="textWrapping"/>
        <w:t xml:space="preserve">amminoacidi: proprietà acide e basiche, punto isoelettrico</w:t>
      </w:r>
    </w:p>
    <w:p w:rsidR="00000000" w:rsidDel="00000000" w:rsidP="00000000" w:rsidRDefault="00000000" w:rsidRPr="00000000" w14:paraId="0000009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rtl w:val="0"/>
        </w:rPr>
        <w:t xml:space="preserve">TLC di amminoacidi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separazione cromatografica di amminoacidi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saggi qualitativi sulle proteine</w:t>
      </w:r>
    </w:p>
    <w:p w:rsidR="00000000" w:rsidDel="00000000" w:rsidP="00000000" w:rsidRDefault="00000000" w:rsidRPr="00000000" w14:paraId="0000009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retta taratura BSA per via spettrofotometrica UV e  Visibile</w:t>
      </w:r>
    </w:p>
    <w:p w:rsidR="00000000" w:rsidDel="00000000" w:rsidP="00000000" w:rsidRDefault="00000000" w:rsidRPr="00000000" w14:paraId="000000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determinazione concentrazione proteica brodo di carne metodo colorimetrico al biureto</w:t>
      </w:r>
    </w:p>
    <w:p w:rsidR="00000000" w:rsidDel="00000000" w:rsidP="00000000" w:rsidRDefault="00000000" w:rsidRPr="00000000" w14:paraId="0000009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single"/>
          <w:rtl w:val="0"/>
        </w:rPr>
        <w:t xml:space="preserve">elettroforesi, introduzione all'elettroforesi, presentazione strumentazione</w:t>
      </w:r>
    </w:p>
    <w:p w:rsidR="00000000" w:rsidDel="00000000" w:rsidP="00000000" w:rsidRDefault="00000000" w:rsidRPr="00000000" w14:paraId="0000009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preparazione e semina campioni a differente concentrazione di una miscela proteica ad uso umano</w:t>
      </w:r>
    </w:p>
    <w:p w:rsidR="00000000" w:rsidDel="00000000" w:rsidP="00000000" w:rsidRDefault="00000000" w:rsidRPr="00000000" w14:paraId="0000009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ENZIMI</w:t>
        <w:br w:type="textWrapping"/>
        <w:t xml:space="preserve">cinetica enzimatica della lattato deidrogenasi in assenza e in presenza di un inibitore competitivo</w:t>
      </w:r>
    </w:p>
    <w:p w:rsidR="00000000" w:rsidDel="00000000" w:rsidP="00000000" w:rsidRDefault="00000000" w:rsidRPr="00000000" w14:paraId="0000009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reazione segnatempo: determinazione della concentrazione di glucosio, metodo enzimatico</w:t>
      </w:r>
    </w:p>
    <w:sectPr>
      <w:footerReference r:id="rId7" w:type="default"/>
      <w:pgSz w:h="11906" w:w="16838" w:orient="landscape"/>
      <w:pgMar w:bottom="1134" w:top="1134" w:left="1134" w:right="141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ind w:right="360" w:hanging="2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9659938</wp:posOffset>
              </wp:positionH>
              <wp:positionV relativeFrom="paragraph">
                <wp:posOffset>-4761</wp:posOffset>
              </wp:positionV>
              <wp:extent cx="213995" cy="201295"/>
              <wp:effectExtent b="0" l="0" r="0" t="0"/>
              <wp:wrapSquare wrapText="bothSides" distB="0" distT="0" distL="0" distR="0"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67578" y="3707928"/>
                        <a:ext cx="156845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.0000000149011612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9659938</wp:posOffset>
              </wp:positionH>
              <wp:positionV relativeFrom="paragraph">
                <wp:posOffset>-4761</wp:posOffset>
              </wp:positionV>
              <wp:extent cx="213995" cy="201295"/>
              <wp:effectExtent b="0" l="0" r="0" t="0"/>
              <wp:wrapSquare wrapText="bothSides" distB="0" distT="0" distL="0" distR="0"/>
              <wp:docPr id="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3995" cy="2012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right"/>
    </w:pPr>
    <w:rPr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</w:pPr>
    <w:rPr>
      <w:sz w:val="24"/>
      <w:szCs w:val="24"/>
    </w:rPr>
  </w:style>
  <w:style w:type="paragraph" w:styleId="Heading5">
    <w:name w:val="heading 5"/>
    <w:basedOn w:val="Normal"/>
    <w:next w:val="Normal"/>
    <w:pPr>
      <w:keepNext w:val="1"/>
      <w:ind w:right="113" w:firstLine="0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rFonts w:ascii="Verdana" w:cs="Verdana" w:eastAsia="Verdana" w:hAnsi="Verdana"/>
      <w:sz w:val="24"/>
      <w:szCs w:val="24"/>
    </w:rPr>
  </w:style>
  <w:style w:type="paragraph" w:styleId="Title">
    <w:name w:val="Title"/>
    <w:basedOn w:val="Normal"/>
    <w:next w:val="Normal"/>
    <w:pPr>
      <w:jc w:val="center"/>
    </w:pPr>
    <w:rPr>
      <w:b w:val="1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hanging="1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Pn5YE0W/ZrkBL827e82sYuokiw==">CgMxLjAyCWguMzBqMHpsbDIIaC5namRneHM4AHIhMXhXbDA3V2EwWjljVFV5WnFkUExRakNCWl8tRmdabzI5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2023-10-18T13:50:00Z</dcterms:created>
  <dc:creator>francesco</dc:creator>
</cp:coreProperties>
</file>